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D07F08">
              <w:rPr>
                <w:b/>
                <w:sz w:val="22"/>
                <w:szCs w:val="22"/>
                <w:lang w:val="it-IT" w:bidi="it-IT"/>
              </w:rPr>
              <w:t xml:space="preserve"> 2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w:t>
            </w:r>
            <w:r w:rsidR="00D07F08">
              <w:rPr>
                <w:b/>
                <w:bCs/>
                <w:iCs/>
                <w:sz w:val="22"/>
                <w:szCs w:val="22"/>
                <w:lang w:val="it-IT" w:eastAsia="it-IT" w:bidi="it-IT"/>
              </w:rPr>
              <w:t xml:space="preserve">taria, volta alla stipula di una convenzione </w:t>
            </w:r>
            <w:r w:rsidRPr="00F2503B">
              <w:rPr>
                <w:b/>
                <w:bCs/>
                <w:iCs/>
                <w:sz w:val="22"/>
                <w:szCs w:val="22"/>
                <w:lang w:val="it-IT" w:eastAsia="it-IT" w:bidi="it-IT"/>
              </w:rPr>
              <w:t xml:space="preserve">ai sensi degli artt. 36, comma 2, lett. b), e 54 del D.Lgs. 50/2016, per l’affidamento del </w:t>
            </w:r>
            <w:r w:rsidRPr="00F2503B">
              <w:rPr>
                <w:b/>
                <w:bCs/>
                <w:i/>
                <w:iCs/>
                <w:sz w:val="22"/>
                <w:szCs w:val="22"/>
                <w:lang w:val="it-IT" w:eastAsia="it-IT" w:bidi="it-IT"/>
              </w:rPr>
              <w:t>“Servizio di cassa a favore</w:t>
            </w:r>
            <w:r w:rsidR="00D07F08">
              <w:rPr>
                <w:b/>
                <w:bCs/>
                <w:i/>
                <w:iCs/>
                <w:sz w:val="22"/>
                <w:szCs w:val="22"/>
                <w:lang w:val="it-IT" w:eastAsia="it-IT" w:bidi="it-IT"/>
              </w:rPr>
              <w:t xml:space="preserve"> di Istituzione Scolastica</w:t>
            </w:r>
            <w:r w:rsidRPr="00F2503B">
              <w:rPr>
                <w:b/>
                <w:bCs/>
                <w:i/>
                <w:iCs/>
                <w:sz w:val="22"/>
                <w:szCs w:val="22"/>
                <w:lang w:val="it-IT" w:eastAsia="it-IT" w:bidi="it-IT"/>
              </w:rPr>
              <w:t>”</w:t>
            </w:r>
          </w:p>
          <w:p w:rsidR="00104512" w:rsidRPr="00F2503B" w:rsidRDefault="00104512" w:rsidP="00AA7CDC">
            <w:pPr>
              <w:spacing w:line="360" w:lineRule="auto"/>
              <w:jc w:val="both"/>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D07F08">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u w:val="single"/>
          <w:lang w:val="it-IT"/>
        </w:rPr>
        <w:t xml:space="preserve">non è intervenuta alcunacondanna,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 xml:space="preserve">e carica </w:t>
            </w:r>
            <w:r w:rsidRPr="00F2503B">
              <w:rPr>
                <w:b/>
                <w:sz w:val="22"/>
                <w:szCs w:val="22"/>
                <w:lang w:val="it-IT"/>
              </w:rPr>
              <w:lastRenderedPageBreak/>
              <w:t>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lastRenderedPageBreak/>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 xml:space="preserve">Durata della pena accessoria dell’incapacità di contrattare con la </w:t>
            </w:r>
            <w:r w:rsidRPr="00F2503B">
              <w:rPr>
                <w:b/>
                <w:sz w:val="22"/>
                <w:szCs w:val="22"/>
                <w:lang w:val="it-IT"/>
              </w:rPr>
              <w:lastRenderedPageBreak/>
              <w:t>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lastRenderedPageBreak/>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 xml:space="preserve">di direzione o di vigilanza osoggetti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 xml:space="preserve">contrattuale/altro (influenza </w:t>
            </w:r>
            <w:r w:rsidRPr="00F2503B">
              <w:rPr>
                <w:sz w:val="22"/>
                <w:szCs w:val="22"/>
                <w:lang w:val="it-IT"/>
              </w:rPr>
              <w:lastRenderedPageBreak/>
              <w:t>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 xml:space="preserve">che ricorre/ricorrono uno o più dei seguenti motivi di esclusione di cui all’art.80,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lastRenderedPageBreak/>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73209A"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sz w:val="22"/>
          <w:szCs w:val="22"/>
          <w:lang w:val="it-IT"/>
        </w:rPr>
        <w:t>bis,</w:t>
      </w:r>
      <w:r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 xml:space="preserve">____in data___________ </w:t>
      </w:r>
      <w:r w:rsidRPr="00F2503B">
        <w:rPr>
          <w:i/>
          <w:sz w:val="22"/>
          <w:szCs w:val="22"/>
          <w:lang w:val="it-IT"/>
        </w:rPr>
        <w:t>sub</w:t>
      </w:r>
      <w:r w:rsidRPr="00F2503B">
        <w:rPr>
          <w:sz w:val="22"/>
          <w:szCs w:val="22"/>
          <w:lang w:val="it-IT"/>
        </w:rPr>
        <w:t xml:space="preserve"> n.____________________ed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 xml:space="preserve">lagaranzia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lastRenderedPageBreak/>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00AE2448" w:rsidRPr="00F2503B">
        <w:rPr>
          <w:color w:val="000000"/>
          <w:sz w:val="22"/>
          <w:szCs w:val="22"/>
          <w:lang w:val="it-IT"/>
        </w:rPr>
        <w:t xml:space="preserve">che, nel caso in cui non sia già </w:t>
      </w:r>
      <w:r w:rsidR="00AE2448" w:rsidRPr="00F2503B">
        <w:rPr>
          <w:color w:val="000000"/>
          <w:sz w:val="22"/>
          <w:szCs w:val="22"/>
          <w:lang w:val="it-IT"/>
        </w:rPr>
        <w:lastRenderedPageBreak/>
        <w:t>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lastRenderedPageBreak/>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xml:space="preserve">”), convertito con modificazioni della legge n. 217 del 17 dicembre 2010, e successive modifiche, </w:t>
      </w:r>
      <w:r w:rsidRPr="00F2503B">
        <w:rPr>
          <w:sz w:val="22"/>
          <w:szCs w:val="22"/>
          <w:lang w:val="it-IT"/>
        </w:rPr>
        <w:lastRenderedPageBreak/>
        <w:t>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spacing w:after="120"/>
        <w:ind w:left="360"/>
        <w:jc w:val="both"/>
        <w:rPr>
          <w:color w:val="FF0000"/>
          <w:sz w:val="22"/>
          <w:szCs w:val="22"/>
          <w:lang w:val="it-IT"/>
        </w:rPr>
      </w:pPr>
      <w:r w:rsidRPr="00F2503B">
        <w:rPr>
          <w:color w:val="FF0000"/>
          <w:sz w:val="22"/>
          <w:szCs w:val="22"/>
          <w:lang w:val="it-IT"/>
        </w:rPr>
        <w:t>Lotto […]</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lastRenderedPageBreak/>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lastRenderedPageBreak/>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w:t>
      </w:r>
      <w:r w:rsidRPr="00F2503B">
        <w:rPr>
          <w:i/>
          <w:spacing w:val="-1"/>
          <w:sz w:val="22"/>
          <w:szCs w:val="22"/>
          <w:lang w:val="it-IT"/>
        </w:rPr>
        <w:lastRenderedPageBreak/>
        <w:t>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71D" w:rsidRDefault="0005371D">
      <w:r>
        <w:separator/>
      </w:r>
    </w:p>
  </w:endnote>
  <w:endnote w:type="continuationSeparator" w:id="1">
    <w:p w:rsidR="0005371D" w:rsidRDefault="00053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EC6BA2"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EC6BA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07F08">
      <w:rPr>
        <w:rStyle w:val="Numeropagina"/>
        <w:rFonts w:ascii="Verdana" w:hAnsi="Verdana"/>
        <w:noProof/>
        <w:sz w:val="16"/>
        <w:szCs w:val="16"/>
      </w:rPr>
      <w:t>23</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71D" w:rsidRDefault="0005371D">
      <w:r>
        <w:separator/>
      </w:r>
    </w:p>
  </w:footnote>
  <w:footnote w:type="continuationSeparator" w:id="1">
    <w:p w:rsidR="0005371D" w:rsidRDefault="00053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 xml:space="preserve">Procedura negoziata di importo inferiore alla soglia comunitaria, volta alla stipula di un Accordo Quadro ai sensi degli artt. 36, comma 2, lett. b), e 54 del D.Lgs. 50/2016, </w:t>
    </w:r>
    <w:r w:rsidRPr="002A6576">
      <w:rPr>
        <w:rFonts w:ascii="Times New Roman" w:eastAsia="Calibri" w:hAnsi="Times New Roman"/>
        <w:bCs w:val="0"/>
        <w:i/>
        <w:color w:val="FF0000"/>
        <w:szCs w:val="20"/>
        <w:lang w:bidi="it-IT"/>
      </w:rPr>
      <w:t>suddivisa in […] lotti</w:t>
    </w:r>
    <w:r w:rsidRPr="002A6576">
      <w:rPr>
        <w:rFonts w:ascii="Times New Roman" w:eastAsia="Calibri" w:hAnsi="Times New Roman"/>
        <w:bCs w:val="0"/>
        <w:i/>
        <w:szCs w:val="20"/>
        <w:lang w:bidi="it-IT"/>
      </w:rPr>
      <w:t>, per l’affidamento del “Servizio di cassa a favore di Rete di Scuole”</w:t>
    </w: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371D"/>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07F08"/>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BA2"/>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B9F5-6CD0-4B38-AFE0-F6E6B057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8705</Words>
  <Characters>49620</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58209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2020-05-01T18:20:00Z</dcterms:modified>
</cp:coreProperties>
</file>